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hint="eastAsia" w:eastAsia="黑体"/>
          <w:kern w:val="0"/>
          <w:szCs w:val="32"/>
        </w:rPr>
      </w:pPr>
      <w:r>
        <w:rPr>
          <w:rFonts w:hint="eastAsia" w:eastAsia="黑体"/>
          <w:kern w:val="0"/>
          <w:szCs w:val="32"/>
        </w:rPr>
        <w:t>附2-</w:t>
      </w:r>
      <w:r>
        <w:rPr>
          <w:rFonts w:eastAsia="黑体"/>
          <w:kern w:val="0"/>
          <w:szCs w:val="32"/>
        </w:rPr>
        <w:t>2</w:t>
      </w:r>
    </w:p>
    <w:p>
      <w:pPr>
        <w:shd w:val="clear" w:color="auto" w:fill="FFFFFF"/>
        <w:spacing w:line="560" w:lineRule="exact"/>
        <w:jc w:val="left"/>
        <w:rPr>
          <w:rFonts w:eastAsia="黑体"/>
          <w:kern w:val="0"/>
          <w:szCs w:val="32"/>
        </w:rPr>
      </w:pPr>
    </w:p>
    <w:p>
      <w:pPr>
        <w:shd w:val="clear" w:color="auto" w:fill="FFFFFF"/>
        <w:spacing w:line="48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无组织排放控制措施界定</w:t>
      </w:r>
    </w:p>
    <w:p>
      <w:pPr>
        <w:shd w:val="clear" w:color="auto" w:fill="FFFFFF"/>
        <w:spacing w:line="480" w:lineRule="exact"/>
        <w:jc w:val="center"/>
        <w:rPr>
          <w:rFonts w:eastAsia="微软雅黑"/>
          <w:b/>
          <w:bCs/>
          <w:kern w:val="0"/>
          <w:sz w:val="24"/>
        </w:rPr>
      </w:pPr>
    </w:p>
    <w:tbl>
      <w:tblPr>
        <w:tblStyle w:val="3"/>
        <w:tblW w:w="9223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0"/>
        <w:gridCol w:w="4942"/>
        <w:gridCol w:w="18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作业类型</w:t>
            </w:r>
          </w:p>
        </w:tc>
        <w:tc>
          <w:tcPr>
            <w:tcW w:w="4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措施界定</w:t>
            </w: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示  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密闭</w:t>
            </w:r>
          </w:p>
        </w:tc>
        <w:tc>
          <w:tcPr>
            <w:tcW w:w="4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物料不与环境空气接触，或通过密封材料、密封设备与环境空气隔离的状态或作业方式</w:t>
            </w: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密闭储存</w:t>
            </w:r>
          </w:p>
        </w:tc>
        <w:tc>
          <w:tcPr>
            <w:tcW w:w="4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将物料储存于与环境空气隔离的建（构）筑物、设施、器具内的作业方式</w:t>
            </w: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料仓、储罐等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密闭输送</w:t>
            </w:r>
          </w:p>
        </w:tc>
        <w:tc>
          <w:tcPr>
            <w:tcW w:w="4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物料输送过程与环境空气隔离的作业方式</w:t>
            </w: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管道、管状带式输送机、气力输送设备、罐车等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封闭</w:t>
            </w:r>
          </w:p>
        </w:tc>
        <w:tc>
          <w:tcPr>
            <w:tcW w:w="4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利用完整的围护结构将物料、作业场所等与周围空间阻隔的状态或作业方式，设置的门窗、盖板、检修口等配套设施在非必要时应关闭</w:t>
            </w: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封闭储存</w:t>
            </w:r>
          </w:p>
        </w:tc>
        <w:tc>
          <w:tcPr>
            <w:tcW w:w="4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将物料储存于具有完整围墙（围挡）及屋顶结构的建筑物内的作业方式，建筑物的门窗在非必要时应关闭</w:t>
            </w: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储库、仓库等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封闭输送</w:t>
            </w:r>
          </w:p>
        </w:tc>
        <w:tc>
          <w:tcPr>
            <w:tcW w:w="4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在完整的围护结构内进行物料输送作业，围护结构的门窗、盖板、检修口等配套设施在非必要时应关闭</w:t>
            </w: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皮带通廊、封闭车厢等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封闭车间</w:t>
            </w:r>
          </w:p>
        </w:tc>
        <w:tc>
          <w:tcPr>
            <w:tcW w:w="4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具有完整围墙（围挡）及屋顶结构的建筑物，建筑物的门窗在非必要时应关闭</w:t>
            </w: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</w:t>
            </w:r>
          </w:p>
        </w:tc>
      </w:tr>
    </w:tbl>
    <w:p>
      <w:pPr>
        <w:shd w:val="clear" w:color="auto" w:fill="FFFFFF"/>
        <w:spacing w:line="440" w:lineRule="exact"/>
        <w:ind w:firstLine="530" w:firstLineChars="221"/>
        <w:rPr>
          <w:kern w:val="0"/>
          <w:sz w:val="24"/>
        </w:rPr>
        <w:sectPr>
          <w:pgSz w:w="11906" w:h="16838"/>
          <w:pgMar w:top="1701" w:right="1588" w:bottom="1418" w:left="1588" w:header="851" w:footer="992" w:gutter="0"/>
          <w:cols w:space="720" w:num="1"/>
          <w:docGrid w:linePitch="312" w:charSpace="0"/>
        </w:sectPr>
      </w:pPr>
      <w:r>
        <w:rPr>
          <w:rFonts w:hint="eastAsia"/>
          <w:bCs/>
          <w:kern w:val="0"/>
          <w:sz w:val="24"/>
        </w:rPr>
        <w:t>注：</w:t>
      </w:r>
      <w:r>
        <w:rPr>
          <w:rFonts w:hint="eastAsia"/>
          <w:kern w:val="0"/>
          <w:sz w:val="24"/>
        </w:rPr>
        <w:t>生产工艺产尘点（装置）应采取密闭、封闭或设置集气罩等措施。煤粉、粉煤灰、石灰、除尘灰、脱硫灰等粉状物料应密闭或封闭储存，采用密闭皮带、封闭通廊、管状带式输送机或密闭车厢、真空罐车、气力输送等方式输送。粒状、块状物料应采用入棚入仓或建设防风抑尘网等方式进行储存，粒状物料采用密闭、封闭等方式输送。物料输送过程中产尘点应采取有效抑尘措施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C11A7"/>
    <w:rsid w:val="0BE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2019-09-06T02:43:00Z</dcterms:created>
  <dc:creator>Sun</dc:creator>
  <cp:lastModifiedBy>Sun</cp:lastModifiedBy>
  <dcterms:modified xsi:type="dcterms:W3CDTF">2019-09-06T02:44:02Z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