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附2-</w:t>
      </w:r>
      <w:r>
        <w:rPr>
          <w:rFonts w:eastAsia="黑体"/>
          <w:kern w:val="0"/>
          <w:szCs w:val="32"/>
        </w:rPr>
        <w:t>3</w:t>
      </w:r>
    </w:p>
    <w:p>
      <w:pPr>
        <w:shd w:val="clear" w:color="auto" w:fill="FFFFFF"/>
        <w:spacing w:line="560" w:lineRule="exact"/>
        <w:ind w:firstLine="480"/>
        <w:jc w:val="center"/>
        <w:rPr>
          <w:rFonts w:eastAsia="宋体"/>
          <w:bCs/>
          <w:kern w:val="0"/>
          <w:sz w:val="21"/>
          <w:szCs w:val="21"/>
        </w:rPr>
      </w:pPr>
    </w:p>
    <w:p>
      <w:pPr>
        <w:shd w:val="clear" w:color="auto" w:fill="FFFFFF"/>
        <w:spacing w:line="48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安装自动监控设施要求</w:t>
      </w:r>
    </w:p>
    <w:p>
      <w:pPr>
        <w:shd w:val="clear" w:color="auto" w:fill="FFFFFF"/>
        <w:spacing w:line="560" w:lineRule="exact"/>
        <w:ind w:firstLine="480"/>
        <w:jc w:val="center"/>
        <w:rPr>
          <w:rFonts w:eastAsia="宋体"/>
          <w:bCs/>
          <w:kern w:val="0"/>
          <w:sz w:val="21"/>
          <w:szCs w:val="21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138"/>
        <w:gridCol w:w="226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分类依据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数据要求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排气筒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排气口高于</w:t>
            </w:r>
            <w:r>
              <w:rPr>
                <w:kern w:val="0"/>
                <w:sz w:val="28"/>
                <w:szCs w:val="28"/>
              </w:rPr>
              <w:t>45</w:t>
            </w:r>
            <w:r>
              <w:rPr>
                <w:rFonts w:hint="eastAsia"/>
                <w:kern w:val="0"/>
                <w:sz w:val="28"/>
                <w:szCs w:val="28"/>
              </w:rPr>
              <w:t>米的高架源</w:t>
            </w:r>
          </w:p>
        </w:tc>
        <w:tc>
          <w:tcPr>
            <w:tcW w:w="2266" w:type="dxa"/>
            <w:vMerge w:val="restart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自动监控设施应与环保部门联网，数据传输有效率达</w:t>
            </w:r>
            <w:r>
              <w:rPr>
                <w:kern w:val="0"/>
                <w:sz w:val="28"/>
                <w:szCs w:val="28"/>
              </w:rPr>
              <w:t>90%</w:t>
            </w:r>
            <w:r>
              <w:rPr>
                <w:rFonts w:hint="eastAsia"/>
                <w:kern w:val="0"/>
                <w:sz w:val="28"/>
                <w:szCs w:val="28"/>
              </w:rPr>
              <w:t>；自动监控、</w:t>
            </w:r>
            <w:r>
              <w:rPr>
                <w:kern w:val="0"/>
                <w:sz w:val="28"/>
                <w:szCs w:val="28"/>
              </w:rPr>
              <w:t>DCS</w:t>
            </w:r>
            <w:r>
              <w:rPr>
                <w:rFonts w:hint="eastAsia"/>
                <w:kern w:val="0"/>
                <w:sz w:val="28"/>
                <w:szCs w:val="28"/>
              </w:rPr>
              <w:t>监控等数据至少要保存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年；监控视频数据至少保存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个月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根据相关规定，重点排污单位应当安装自动监控设施。删选重点排污单位，应按照《重点排污单位名录管理规定</w:t>
            </w:r>
            <w:r>
              <w:rPr>
                <w:kern w:val="0"/>
                <w:sz w:val="28"/>
                <w:szCs w:val="28"/>
              </w:rPr>
              <w:t xml:space="preserve"> (</w:t>
            </w:r>
            <w:r>
              <w:rPr>
                <w:rFonts w:hint="eastAsia"/>
                <w:kern w:val="0"/>
                <w:sz w:val="28"/>
                <w:szCs w:val="28"/>
              </w:rPr>
              <w:t>试行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》（环办监测〔</w:t>
            </w:r>
            <w:r>
              <w:rPr>
                <w:kern w:val="0"/>
                <w:sz w:val="28"/>
                <w:szCs w:val="28"/>
              </w:rPr>
              <w:t>2017) 86</w:t>
            </w:r>
            <w:r>
              <w:rPr>
                <w:rFonts w:hint="eastAsia"/>
                <w:kern w:val="0"/>
                <w:sz w:val="28"/>
                <w:szCs w:val="28"/>
              </w:rPr>
              <w:t>号）等相关规定执行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行业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水泥、平板玻璃、陶瓷、氮肥、有色金属冶炼、再生有色金属</w:t>
            </w: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炉窑类型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冲天炉、玻璃熔窑、以煤和煤矸石为燃料的砖瓦烧结窑、耐火材料焙烧窑（电窑除外）、炭素焙（煅）烧炉（窑）、石灰窑、铬盐焙烧窑、铁合金矿热炉和精炼炉</w:t>
            </w: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其它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——</w:t>
            </w: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560" w:lineRule="exact"/>
        <w:ind w:firstLine="480"/>
        <w:jc w:val="center"/>
        <w:rPr>
          <w:rFonts w:eastAsia="宋体"/>
          <w:bCs/>
          <w:kern w:val="0"/>
          <w:sz w:val="21"/>
          <w:szCs w:val="21"/>
        </w:rPr>
        <w:sectPr>
          <w:pgSz w:w="11906" w:h="16838"/>
          <w:pgMar w:top="1701" w:right="1588" w:bottom="1418" w:left="1588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74F10"/>
    <w:rsid w:val="131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2019-09-06T02:44:00Z</dcterms:created>
  <dc:creator>Sun</dc:creator>
  <cp:lastModifiedBy>Sun</cp:lastModifiedBy>
  <dcterms:modified xsi:type="dcterms:W3CDTF">2019-09-06T02:44:41Z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